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b5394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36"/>
          <w:szCs w:val="36"/>
          <w:rtl w:val="0"/>
        </w:rPr>
        <w:t xml:space="preserve">Melissa Morse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 Main St, Baltic, CT, 06330 | 860-608-4693 |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melissa.blazejak@gmail.com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|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|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Content &amp; Product Marketing Leader | Editorial Strategy, Technical Storytelling, &amp; GTM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Content and product marketing leader with 10+ years of experience in B2B SaaS and digital publishing. I specialize in driving measurable growth through SEO, product positioning, and cross-channel campaigns. Skilled at translating complex products into compelling narratives, scaling editorial operations, and equipping sales teams with enablement tools. Recognized for taking ownership and driving results through creativity, data-driven insights, and cross-functional collaboration; launching bold campaigns, improving visibility, and strengthening pipeline impact.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>
          <w:rFonts w:ascii="Arial" w:cs="Arial" w:eastAsia="Arial" w:hAnsi="Arial"/>
          <w:b w:val="1"/>
          <w:color w:val="0b5394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16"/>
          <w:szCs w:val="16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TPGi/Vispero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(Remote) | Content Marketing Manager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June 2024 – September 2025</w:t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Owned end-to-end content strategy for B2B and B2C global accessibility SaaS provider, aligning campaigns with business priorities in brand awareness, product marketing, and demand generation.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Led SEO strategy and execution of high-impact assets, boosting site visibility by +17% and engagement by +70% YoY.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Drove 10+ full-funnel campaigns from concept through launch, balancing competing deadlines while aligning product, sales, and demand gen teams; delivered 640+ gated submissions and $37K+ in attributed deal value in Q2 &amp; Q3 of 2025.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Pioneered AI-driven content operations by designing and training 15 GPT agents, accelerating production and enabling 10+ concurrent campaigns.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Built persona-based HubSpot nurture programs (targeting 4K–13K contacts), achieving 41%+ average open rates and advancing ABM pipeline opportunities.</w:t>
      </w:r>
    </w:p>
    <w:p w:rsidR="00000000" w:rsidDel="00000000" w:rsidP="00000000" w:rsidRDefault="00000000" w:rsidRPr="00000000" w14:paraId="0000000F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HRlogics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(Remote) | Director of Content Marketing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September 2023 – February 2024</w:t>
      </w:r>
    </w:p>
    <w:p w:rsidR="00000000" w:rsidDel="00000000" w:rsidP="00000000" w:rsidRDefault="00000000" w:rsidRPr="00000000" w14:paraId="00000011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B2B SaaS start-up with &lt;200 employees serving mid-market and enterprise HR and finance professionals. Reported to CMO and advised executive leadership on positioning, messaging, and campaign priorities.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Directed brand unification across 5 SaaS products, creating a single cohesive voice and aligning sales + marketing messaging for demand gen, enablement, and digital channels.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Owned editorial roadmap and content operations, balancing awareness, thought leadership, and pipeline goals in a 4-person marketing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Delivered measurable growth by embedding SEO into campaigns, increasing organic traffic +600%, session duration +121%, and rankings +19% in two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Pushed creative boundaries by repurposing thought-leadership assets into sales collateral and social content, ensuring a consistent voice while driving a 10% lift in new users in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ERE Media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(Remote) | Marketing Manager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June 2022 – July 2023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B2B media publisher serving talent acquisition professionals through eNewsletters, live events, webinars, and online training. Sole marketing hire in a lean &lt;10-person org, responsible for content, campaigns, and sponsor marketing.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1440"/>
          <w:tab w:val="right" w:leader="none" w:pos="6480"/>
          <w:tab w:val="right" w:leader="none" w:pos="-12412"/>
          <w:tab w:val="right" w:leader="none" w:pos="10620"/>
        </w:tabs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Built segmented HubSpot campaigns, boosting email open rates by +13% and subscriber growth by +7% in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Partnered with sales on sponsor collateral and promos, increasing renewals +8% and strengthening advertiser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lineRule="auto"/>
        <w:ind w:left="720" w:hanging="360"/>
        <w:rPr>
          <w:rFonts w:ascii="Arial" w:cs="Arial" w:eastAsia="Arial" w:hAnsi="Arial"/>
          <w:u w:val="none"/>
        </w:rPr>
        <w:sectPr>
          <w:headerReference r:id="rId10" w:type="default"/>
          <w:headerReference r:id="rId11" w:type="first"/>
          <w:pgSz w:h="15840" w:w="12240" w:orient="portrait"/>
          <w:pgMar w:bottom="720" w:top="720" w:left="990" w:right="990" w:header="0" w:footer="144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newsletters and social campaigns for hybrid events and training programs, achieving +3% conversion growth YoY.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Simplify Compliance (Hybrid - CT) | Product Marketing Manager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October 2020 – June 2022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BLR rebranded to Simplify Compliance in 2018. Promoted through multiple roles, culminating in product marketing leadership and reporting to the VP of Business Development.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Took ownership of GTM execution for 36 new SaaS-based events, orchestrating sales, events, and marketing teams with tight timelines; surpassed launch targets by 178% and drove $1.5M in first-year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Led GTM strategy across sales, events, and marketing, generating $1.5M in first-year revenue and surpassing launch targets by 178%.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0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Applied voice-of-customer insights to refine messaging, boosting attendee satisfaction scores +37% in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BLR  (Hybrid - CT) | Associate Content Manager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2014 – October 2020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B2B SaaS and media publisher serving HR, safety, and compliance professionals. Advanced from content editor to manager within two years, overseeing 3 writers (1 FTE, 2 freelancers) and managing editorial operations for multiple blogs and newsletters.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Scaled output from 5 to 15+ articles per week across 3 blogs + 2 daily newsletters, maintaining quality and consistency.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multi-format content (articles, eBooks, infographics, video, social), driving +7% engagement lift in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rPr>
          <w:rFonts w:ascii="Arial" w:cs="Arial" w:eastAsia="Arial" w:hAnsi="Arial"/>
          <w:b w:val="1"/>
          <w:color w:val="0b5394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16"/>
          <w:szCs w:val="16"/>
          <w:rtl w:val="0"/>
        </w:rPr>
        <w:t xml:space="preserve">EDUCATION &amp; CERTIFICATIONS</w:t>
      </w:r>
    </w:p>
    <w:p w:rsidR="00000000" w:rsidDel="00000000" w:rsidP="00000000" w:rsidRDefault="00000000" w:rsidRPr="00000000" w14:paraId="00000029">
      <w:pPr>
        <w:tabs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Connecticut State University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2014</w:t>
      </w:r>
    </w:p>
    <w:p w:rsidR="00000000" w:rsidDel="00000000" w:rsidP="00000000" w:rsidRDefault="00000000" w:rsidRPr="00000000" w14:paraId="0000002B">
      <w:pPr>
        <w:tabs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Master of Education (M.Ed.) - Educational Technology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C">
      <w:pPr>
        <w:tabs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Connecticut State University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2008</w:t>
      </w:r>
    </w:p>
    <w:p w:rsidR="00000000" w:rsidDel="00000000" w:rsidP="00000000" w:rsidRDefault="00000000" w:rsidRPr="00000000" w14:paraId="0000002D">
      <w:pPr>
        <w:tabs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 of Science (B.S.) - Communication &amp; Digital Art, Design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Google Analytics Certification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(Skillshop)</w:t>
        <w:tab/>
        <w:tab/>
        <w:t xml:space="preserve">2023</w:t>
      </w:r>
    </w:p>
    <w:p w:rsidR="00000000" w:rsidDel="00000000" w:rsidP="00000000" w:rsidRDefault="00000000" w:rsidRPr="00000000" w14:paraId="00000030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Google Digital Marketing &amp; E-Commerce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(Coursera)</w:t>
        <w:tab/>
        <w:tab/>
        <w:t xml:space="preserve">2022</w:t>
      </w:r>
    </w:p>
    <w:p w:rsidR="00000000" w:rsidDel="00000000" w:rsidP="00000000" w:rsidRDefault="00000000" w:rsidRPr="00000000" w14:paraId="00000031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Google Data Analytics</w:t>
      </w:r>
      <w:r w:rsidDel="00000000" w:rsidR="00000000" w:rsidRPr="00000000">
        <w:rPr>
          <w:rFonts w:ascii="Arial" w:cs="Arial" w:eastAsia="Arial" w:hAnsi="Arial"/>
          <w:rtl w:val="0"/>
        </w:rPr>
        <w:t xml:space="preserve"> (Coursera)</w:t>
        <w:tab/>
        <w:tab/>
        <w:t xml:space="preserve">2022</w:t>
      </w:r>
    </w:p>
    <w:p w:rsidR="00000000" w:rsidDel="00000000" w:rsidP="00000000" w:rsidRDefault="00000000" w:rsidRPr="00000000" w14:paraId="00000032">
      <w:pPr>
        <w:tabs>
          <w:tab w:val="right" w:leader="none" w:pos="9720"/>
          <w:tab w:val="right" w:leader="none" w:pos="10620"/>
        </w:tabs>
        <w:spacing w:after="2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Google Project Management: Professional Certificate</w:t>
      </w:r>
      <w:r w:rsidDel="00000000" w:rsidR="00000000" w:rsidRPr="00000000">
        <w:rPr>
          <w:rFonts w:ascii="Arial" w:cs="Arial" w:eastAsia="Arial" w:hAnsi="Arial"/>
          <w:rtl w:val="0"/>
        </w:rPr>
        <w:t xml:space="preserve"> (Coursera)</w:t>
        <w:tab/>
        <w:tab/>
        <w:t xml:space="preserve">2022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  <w:b w:val="1"/>
          <w:color w:val="0b5394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16"/>
          <w:szCs w:val="16"/>
          <w:rtl w:val="0"/>
        </w:rPr>
        <w:t xml:space="preserve">TECHNICAL &amp; MARKETING TOOLS</w:t>
      </w:r>
    </w:p>
    <w:p w:rsidR="00000000" w:rsidDel="00000000" w:rsidP="00000000" w:rsidRDefault="00000000" w:rsidRPr="00000000" w14:paraId="00000037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  <w:b w:val="1"/>
          <w:color w:val="0b539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Content &amp; SEO Platforms:</w:t>
      </w:r>
      <w:r w:rsidDel="00000000" w:rsidR="00000000" w:rsidRPr="00000000">
        <w:rPr>
          <w:rtl w:val="0"/>
        </w:rPr>
        <w:t xml:space="preserve"> HubSpot, SEMrush, Ahrefs, MOZ, SEOptimer, Google Search Console, Google Ads Keyword Planner, Google Analytics, Google Tag Manager, Google Looker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Design &amp; CMS: </w:t>
      </w:r>
      <w:r w:rsidDel="00000000" w:rsidR="00000000" w:rsidRPr="00000000">
        <w:rPr>
          <w:rtl w:val="0"/>
        </w:rPr>
        <w:t xml:space="preserve">WordPress, Canva, Adobe Suite (Photoshop, Illustrator, InDesign, Acrobat), Figma, Dreamweaver, Duda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Collaboration &amp; Project Management: </w:t>
      </w:r>
      <w:r w:rsidDel="00000000" w:rsidR="00000000" w:rsidRPr="00000000">
        <w:rPr>
          <w:rtl w:val="0"/>
        </w:rPr>
        <w:t xml:space="preserve">Asana, Notion, Microsoft 365 (Excel, PowerPoint, Word, Outlook), Google Workspace, Sendible, Hootsuite, HotJar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AI &amp; Automation: </w:t>
      </w:r>
      <w:r w:rsidDel="00000000" w:rsidR="00000000" w:rsidRPr="00000000">
        <w:rPr>
          <w:rtl w:val="0"/>
        </w:rPr>
        <w:t xml:space="preserve">ChatGPT, Jasper AI, HubSpot Automation, Google Gemini, Adobe Firefly, Sora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leader="none" w:pos="9720"/>
          <w:tab w:val="right" w:leader="none" w:pos="10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720"/>
          <w:tab w:val="right" w:leader="none" w:pos="106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16"/>
          <w:szCs w:val="16"/>
          <w:rtl w:val="0"/>
        </w:rPr>
        <w:t xml:space="preserve">CORE MARKETING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Leadership &amp; Collaboration: </w:t>
      </w:r>
      <w:r w:rsidDel="00000000" w:rsidR="00000000" w:rsidRPr="00000000">
        <w:rPr>
          <w:rtl w:val="0"/>
        </w:rPr>
        <w:t xml:space="preserve">Cross-Functional Alignment, Strong Stakeholder Communication, Deadline Management, Creative Problem-Solving, Change Leadership, Project Ownership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Content &amp; Demand Gen:</w:t>
      </w:r>
      <w:r w:rsidDel="00000000" w:rsidR="00000000" w:rsidRPr="00000000">
        <w:rPr>
          <w:rtl w:val="0"/>
        </w:rPr>
        <w:t xml:space="preserve"> Storytelling &amp; Thought Leadership, Pillar-Based Content Marketing, Sales Enablement Content, Direct Response Marketing, Social Media Marketing (LinkedIn &amp; Facebook), Change Management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SEO &amp; AI:</w:t>
      </w:r>
      <w:r w:rsidDel="00000000" w:rsidR="00000000" w:rsidRPr="00000000">
        <w:rPr>
          <w:rtl w:val="0"/>
        </w:rPr>
        <w:t xml:space="preserve"> SEO Strategy &amp; Implementation, AI-Driven Content Strategy, Custom LLM/Gen AI Development, Emerging Tech &amp; Search Trends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right" w:leader="none" w:pos="9720"/>
          <w:tab w:val="right" w:leader="none" w:pos="10620"/>
        </w:tabs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Analytics &amp; Optimization:</w:t>
      </w:r>
      <w:r w:rsidDel="00000000" w:rsidR="00000000" w:rsidRPr="00000000">
        <w:rPr>
          <w:rtl w:val="0"/>
        </w:rPr>
        <w:t xml:space="preserve"> Email Marketing &amp; Automation, Data Analysis &amp; Reporting (Pivot Tables, UTM Tracking, KPIs), A/B &amp; Multivariate Testing, Continuous Process Improvement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990" w:right="990" w:header="0" w:footer="14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ame" w:customStyle="1">
    <w:name w:val="Name"/>
    <w:basedOn w:val="Normal"/>
    <w:next w:val="Normal"/>
    <w:rsid w:val="001232B4"/>
    <w:pPr>
      <w:spacing w:after="440" w:line="240" w:lineRule="atLeast"/>
      <w:jc w:val="center"/>
    </w:pPr>
    <w:rPr>
      <w:rFonts w:ascii="Garamond" w:cs="Times New Roman" w:eastAsia="Times New Roman" w:hAnsi="Garamond"/>
      <w:caps w:val="1"/>
      <w:spacing w:val="80"/>
      <w:position w:val="12"/>
      <w:sz w:val="44"/>
      <w:szCs w:val="20"/>
    </w:rPr>
  </w:style>
  <w:style w:type="paragraph" w:styleId="Address2" w:customStyle="1">
    <w:name w:val="Address 2"/>
    <w:basedOn w:val="Normal"/>
    <w:rsid w:val="001232B4"/>
    <w:pPr>
      <w:framePr w:lines="0" w:w="8640" w:h="1310" w:wrap="notBeside" w:hAnchor="page" w:vAnchor="page" w:xAlign="center" w:yAlign="bottom" w:hRule="exact"/>
      <w:spacing w:line="160" w:lineRule="atLeast"/>
      <w:jc w:val="center"/>
    </w:pPr>
    <w:rPr>
      <w:rFonts w:ascii="Garamond" w:cs="Times New Roman" w:eastAsia="Times New Roman" w:hAnsi="Garamond"/>
      <w:caps w:val="1"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 w:val="1"/>
    <w:rsid w:val="001232B4"/>
    <w:pPr>
      <w:ind w:left="720"/>
      <w:contextualSpacing w:val="1"/>
    </w:pPr>
  </w:style>
  <w:style w:type="paragraph" w:styleId="JobTitle" w:customStyle="1">
    <w:name w:val="Job Title"/>
    <w:next w:val="Achievement"/>
    <w:rsid w:val="001232B4"/>
    <w:pPr>
      <w:spacing w:after="40" w:before="40" w:line="220" w:lineRule="atLeast"/>
    </w:pPr>
    <w:rPr>
      <w:rFonts w:ascii="Garamond" w:cs="Times New Roman" w:eastAsia="Times New Roman" w:hAnsi="Garamond"/>
      <w:i w:val="1"/>
      <w:spacing w:val="5"/>
      <w:sz w:val="23"/>
      <w:szCs w:val="20"/>
    </w:rPr>
  </w:style>
  <w:style w:type="paragraph" w:styleId="Achievement" w:customStyle="1">
    <w:name w:val="Achievement"/>
    <w:basedOn w:val="BodyText"/>
    <w:rsid w:val="001232B4"/>
    <w:pPr>
      <w:spacing w:after="60" w:line="240" w:lineRule="atLeast"/>
      <w:ind w:left="240" w:hanging="240"/>
      <w:jc w:val="both"/>
    </w:pPr>
    <w:rPr>
      <w:rFonts w:ascii="Garamond" w:cs="Times New Roman" w:eastAsia="Times New Roman" w:hAnsi="Garamond"/>
      <w:szCs w:val="20"/>
    </w:rPr>
  </w:style>
  <w:style w:type="paragraph" w:styleId="PersonalInfo" w:customStyle="1">
    <w:name w:val="Personal Info"/>
    <w:basedOn w:val="Achievement"/>
    <w:next w:val="Achievement"/>
    <w:rsid w:val="001232B4"/>
    <w:pPr>
      <w:spacing w:before="220"/>
      <w:ind w:left="245" w:hanging="245"/>
    </w:pPr>
  </w:style>
  <w:style w:type="paragraph" w:styleId="CompanyNameOne" w:customStyle="1">
    <w:name w:val="Company Name One"/>
    <w:basedOn w:val="Normal"/>
    <w:next w:val="JobTitle"/>
    <w:rsid w:val="001232B4"/>
    <w:pPr>
      <w:tabs>
        <w:tab w:val="left" w:pos="1440"/>
        <w:tab w:val="right" w:pos="6480"/>
      </w:tabs>
      <w:spacing w:before="60" w:line="220" w:lineRule="atLeast"/>
    </w:pPr>
    <w:rPr>
      <w:rFonts w:ascii="Garamond" w:cs="Times New Roman" w:eastAsia="Times New Roman" w:hAnsi="Garamond"/>
      <w:szCs w:val="20"/>
    </w:rPr>
  </w:style>
  <w:style w:type="paragraph" w:styleId="CompanyName" w:customStyle="1">
    <w:name w:val="Company Name"/>
    <w:basedOn w:val="Normal"/>
    <w:next w:val="JobTitle"/>
    <w:rsid w:val="001232B4"/>
    <w:pPr>
      <w:tabs>
        <w:tab w:val="left" w:pos="1440"/>
        <w:tab w:val="right" w:pos="6480"/>
      </w:tabs>
      <w:spacing w:before="220" w:line="220" w:lineRule="atLeast"/>
    </w:pPr>
    <w:rPr>
      <w:rFonts w:ascii="Garamond" w:cs="Times New Roman" w:eastAsia="Times New Roman" w:hAnsi="Garamond"/>
      <w:szCs w:val="2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232B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232B4"/>
  </w:style>
  <w:style w:type="paragraph" w:styleId="Header">
    <w:name w:val="header"/>
    <w:basedOn w:val="Normal"/>
    <w:link w:val="HeaderChar"/>
    <w:uiPriority w:val="99"/>
    <w:unhideWhenUsed w:val="1"/>
    <w:rsid w:val="001232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32B4"/>
  </w:style>
  <w:style w:type="paragraph" w:styleId="Footer">
    <w:name w:val="footer"/>
    <w:basedOn w:val="Normal"/>
    <w:link w:val="FooterChar"/>
    <w:uiPriority w:val="99"/>
    <w:unhideWhenUsed w:val="1"/>
    <w:rsid w:val="001232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32B4"/>
  </w:style>
  <w:style w:type="character" w:styleId="Hyperlink">
    <w:name w:val="Hyperlink"/>
    <w:basedOn w:val="DefaultParagraphFont"/>
    <w:uiPriority w:val="99"/>
    <w:unhideWhenUsed w:val="1"/>
    <w:rsid w:val="006317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B2073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1F0348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 w:val="1"/>
    <w:unhideWhenUsed w:val="1"/>
    <w:rsid w:val="002E096F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www.melissamorseportfolio.com/?utm_source=resume&amp;utm_medium=application&amp;utm_campaign=resume&amp;utm_id=application-tracking&amp;utm_term=portfolio&amp;utm_content=hea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lissa.blazejak@gmail.com" TargetMode="External"/><Relationship Id="rId8" Type="http://schemas.openxmlformats.org/officeDocument/2006/relationships/hyperlink" Target="https://www.linkedin.com/in/melissablaze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VILszYntb9BRP9sSdkoXkooMQ==">CgMxLjA4AHIhMXlpY2FPLXMxbnFCSWZsRHNpZUo1NXZ2MEQtbldkcmhy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2021-07-20T21:55:00Z</dcterms:created>
  <dc:creator>Lewber, Erin</dc:creator>
</cp:coreProperties>
</file>